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440"/>
        <w:gridCol w:w="2160"/>
        <w:gridCol w:w="2160"/>
        <w:gridCol w:w="2083"/>
      </w:tblGrid>
      <w:tr>
        <w:tc>
          <w:tcPr>
            <w:tcW w:type="dxa" w:w="1440"/>
            <w:shd w:fill="auto" w:val="clear"/>
          </w:tcPr>
          <w:p w14:paraId="02000000">
            <w:pPr>
              <w:ind/>
              <w:jc w:val="center"/>
            </w:pPr>
            <w:r>
              <w:t>Дата и время проведения семинара</w:t>
            </w:r>
          </w:p>
        </w:tc>
        <w:tc>
          <w:tcPr>
            <w:tcW w:type="dxa" w:w="2160"/>
            <w:shd w:fill="auto" w:val="clear"/>
          </w:tcPr>
          <w:p w14:paraId="03000000">
            <w:pPr>
              <w:ind/>
              <w:jc w:val="center"/>
            </w:pPr>
            <w:r>
              <w:t>Тема семинара</w:t>
            </w:r>
          </w:p>
        </w:tc>
        <w:tc>
          <w:tcPr>
            <w:tcW w:type="dxa" w:w="2160"/>
            <w:shd w:fill="auto" w:val="clear"/>
          </w:tcPr>
          <w:p w14:paraId="04000000">
            <w:pPr>
              <w:ind/>
              <w:jc w:val="center"/>
            </w:pPr>
            <w:r>
              <w:t>Место проведения</w:t>
            </w:r>
          </w:p>
        </w:tc>
        <w:tc>
          <w:tcPr>
            <w:tcW w:type="dxa" w:w="2083"/>
            <w:shd w:fill="auto" w:val="clear"/>
          </w:tcPr>
          <w:p w14:paraId="05000000">
            <w:pPr>
              <w:ind/>
              <w:jc w:val="center"/>
            </w:pPr>
            <w:r>
              <w:t>Телефон для справок</w:t>
            </w:r>
          </w:p>
        </w:tc>
      </w:tr>
      <w:tr>
        <w:tc>
          <w:tcPr>
            <w:tcW w:type="dxa" w:w="1440"/>
            <w:shd w:fill="auto" w:val="clear"/>
          </w:tcPr>
          <w:p w14:paraId="0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</w:rPr>
              <w:t>1.04.2020</w:t>
            </w:r>
          </w:p>
          <w:p w14:paraId="0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14-00</w:t>
            </w:r>
          </w:p>
        </w:tc>
        <w:tc>
          <w:tcPr>
            <w:tcW w:type="dxa" w:w="2160"/>
            <w:shd w:fill="auto" w:val="clear"/>
          </w:tcPr>
          <w:p w14:paraId="08000000">
            <w:pPr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Порядок получения социального и имущественного налогового вычета.</w:t>
            </w:r>
          </w:p>
          <w:p w14:paraId="09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Декларирование доходов физическими лицами. Порядок заполнения декларации по форме 3-НДФЛ.</w:t>
            </w:r>
          </w:p>
          <w:p w14:paraId="0A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Электронные сервисы интернет-сайта ФНС России для физических лиц: возможности и преимущества</w:t>
            </w:r>
          </w:p>
        </w:tc>
        <w:tc>
          <w:tcPr>
            <w:tcW w:type="dxa" w:w="2160"/>
            <w:shd w:fill="auto" w:val="clear"/>
          </w:tcPr>
          <w:p w14:paraId="0B000000">
            <w:r>
              <w:t>г.Н.Новгород, ул. Культуры, 115 оперзал</w:t>
            </w:r>
          </w:p>
        </w:tc>
        <w:tc>
          <w:tcPr>
            <w:tcW w:type="dxa" w:w="2083"/>
            <w:shd w:fill="auto" w:val="clear"/>
          </w:tcPr>
          <w:p w14:paraId="0C000000">
            <w:r>
              <w:t>8(831)229-14-46</w:t>
            </w:r>
          </w:p>
        </w:tc>
      </w:tr>
      <w:tr>
        <w:tc>
          <w:tcPr>
            <w:tcW w:type="dxa" w:w="1440"/>
            <w:shd w:fill="auto" w:val="clear"/>
          </w:tcPr>
          <w:p w14:paraId="0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  <w:r>
              <w:rPr>
                <w:sz w:val="22"/>
              </w:rPr>
              <w:t>.04.20</w:t>
            </w:r>
            <w:r>
              <w:rPr>
                <w:sz w:val="22"/>
              </w:rPr>
              <w:t>20</w:t>
            </w:r>
          </w:p>
          <w:p w14:paraId="0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14-00</w:t>
            </w:r>
          </w:p>
        </w:tc>
        <w:tc>
          <w:tcPr>
            <w:tcW w:type="dxa" w:w="2160"/>
            <w:shd w:fill="auto" w:val="clear"/>
          </w:tcPr>
          <w:p w14:paraId="0F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Преимущества и порядок предоставления отчетности через ТКС.</w:t>
            </w:r>
          </w:p>
          <w:p w14:paraId="10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Предоставление бухгалтерской и налоговой отчетности</w:t>
            </w:r>
          </w:p>
          <w:p w14:paraId="11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Порядок заполнения платежных поручений. Обзор основных ошибок</w:t>
            </w:r>
          </w:p>
        </w:tc>
        <w:tc>
          <w:tcPr>
            <w:tcW w:type="dxa" w:w="2160"/>
            <w:shd w:fill="auto" w:val="clear"/>
          </w:tcPr>
          <w:p w14:paraId="12000000"/>
        </w:tc>
        <w:tc>
          <w:tcPr>
            <w:tcW w:type="dxa" w:w="2083"/>
            <w:shd w:fill="auto" w:val="clear"/>
          </w:tcPr>
          <w:p w14:paraId="13000000"/>
        </w:tc>
      </w:tr>
      <w:tr>
        <w:tc>
          <w:tcPr>
            <w:tcW w:type="dxa" w:w="1440"/>
            <w:shd w:fill="auto" w:val="clear"/>
          </w:tcPr>
          <w:p w14:paraId="1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z w:val="22"/>
              </w:rPr>
              <w:t>.04.20</w:t>
            </w:r>
            <w:r>
              <w:rPr>
                <w:sz w:val="22"/>
              </w:rPr>
              <w:t>20</w:t>
            </w:r>
          </w:p>
          <w:p w14:paraId="1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14-00</w:t>
            </w:r>
          </w:p>
        </w:tc>
        <w:tc>
          <w:tcPr>
            <w:tcW w:type="dxa" w:w="2160"/>
            <w:shd w:fill="auto" w:val="clear"/>
          </w:tcPr>
          <w:p w14:paraId="16000000">
            <w:pPr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Порядок получения социального и имущественного налогового вычета.</w:t>
            </w:r>
          </w:p>
          <w:p w14:paraId="17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Декларирование доходов физическими лицами. Порядок заполнения декларации по форме 3-НДФЛ.</w:t>
            </w:r>
          </w:p>
          <w:p w14:paraId="18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Электронные сервисы интернет-сайта ФНС России для физических лиц: возможности и преимущества</w:t>
            </w:r>
          </w:p>
        </w:tc>
        <w:tc>
          <w:tcPr>
            <w:tcW w:type="dxa" w:w="2160"/>
            <w:shd w:fill="auto" w:val="clear"/>
          </w:tcPr>
          <w:p w14:paraId="19000000"/>
        </w:tc>
        <w:tc>
          <w:tcPr>
            <w:tcW w:type="dxa" w:w="2083"/>
            <w:shd w:fill="auto" w:val="clear"/>
          </w:tcPr>
          <w:p w14:paraId="1A000000"/>
        </w:tc>
      </w:tr>
      <w:tr>
        <w:tc>
          <w:tcPr>
            <w:tcW w:type="dxa" w:w="1440"/>
            <w:shd w:fill="auto" w:val="clear"/>
          </w:tcPr>
          <w:p w14:paraId="1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.04.20</w:t>
            </w:r>
            <w:r>
              <w:rPr>
                <w:sz w:val="22"/>
              </w:rPr>
              <w:t>20</w:t>
            </w:r>
          </w:p>
          <w:p w14:paraId="1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14-00</w:t>
            </w:r>
          </w:p>
        </w:tc>
        <w:tc>
          <w:tcPr>
            <w:tcW w:type="dxa" w:w="2160"/>
            <w:shd w:fill="auto" w:val="clear"/>
          </w:tcPr>
          <w:p w14:paraId="1D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Имущественные налоги: порядок начисления и уплаты, ставки, льготы.</w:t>
            </w:r>
          </w:p>
          <w:p w14:paraId="1E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 услуг</w:t>
            </w:r>
            <w:r>
              <w:rPr>
                <w:sz w:val="22"/>
              </w:rPr>
              <w:t>ах, предоставляемых налогоплательщикам  в МФЦ</w:t>
            </w:r>
          </w:p>
        </w:tc>
        <w:tc>
          <w:tcPr>
            <w:tcW w:type="dxa" w:w="2160"/>
            <w:shd w:fill="auto" w:val="clear"/>
          </w:tcPr>
          <w:p w14:paraId="1F000000"/>
        </w:tc>
        <w:tc>
          <w:tcPr>
            <w:tcW w:type="dxa" w:w="2083"/>
            <w:shd w:fill="auto" w:val="clear"/>
          </w:tcPr>
          <w:p w14:paraId="20000000"/>
        </w:tc>
      </w:tr>
      <w:tr>
        <w:tc>
          <w:tcPr>
            <w:tcW w:type="dxa" w:w="1440"/>
            <w:shd w:fill="auto" w:val="clear"/>
          </w:tcPr>
          <w:p w14:paraId="2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t>.20</w:t>
            </w:r>
            <w:r>
              <w:rPr>
                <w:sz w:val="22"/>
              </w:rPr>
              <w:t>20</w:t>
            </w:r>
          </w:p>
          <w:p w14:paraId="2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14-00</w:t>
            </w:r>
          </w:p>
        </w:tc>
        <w:tc>
          <w:tcPr>
            <w:tcW w:type="dxa" w:w="2160"/>
            <w:shd w:fill="auto" w:val="clear"/>
          </w:tcPr>
          <w:p w14:paraId="23000000">
            <w:pPr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Порядок получения социального и имущественного налогового вычета</w:t>
            </w:r>
          </w:p>
          <w:p w14:paraId="24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Электронные сервисы интернет-сайта ФНС России для физических лиц: возможности и преимущества</w:t>
            </w:r>
          </w:p>
        </w:tc>
        <w:tc>
          <w:tcPr>
            <w:tcW w:type="dxa" w:w="2160"/>
            <w:shd w:fill="auto" w:val="clear"/>
          </w:tcPr>
          <w:p w14:paraId="25000000"/>
        </w:tc>
        <w:tc>
          <w:tcPr>
            <w:tcW w:type="dxa" w:w="2083"/>
            <w:shd w:fill="auto" w:val="clear"/>
          </w:tcPr>
          <w:p w14:paraId="26000000"/>
        </w:tc>
      </w:tr>
      <w:tr>
        <w:tc>
          <w:tcPr>
            <w:tcW w:type="dxa" w:w="1440"/>
            <w:shd w:fill="auto" w:val="clear"/>
          </w:tcPr>
          <w:p w14:paraId="2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.05.20</w:t>
            </w:r>
            <w:r>
              <w:rPr>
                <w:sz w:val="22"/>
              </w:rPr>
              <w:t>20</w:t>
            </w:r>
          </w:p>
          <w:p w14:paraId="2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14-00</w:t>
            </w:r>
          </w:p>
        </w:tc>
        <w:tc>
          <w:tcPr>
            <w:tcW w:type="dxa" w:w="2160"/>
            <w:shd w:fill="auto" w:val="clear"/>
          </w:tcPr>
          <w:p w14:paraId="29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Имущественные налоги: порядок начисления и уплаты, ставки, льготы.</w:t>
            </w:r>
          </w:p>
          <w:p w14:paraId="2A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 услугах, предоставляемых налогоплательщикам  в МФЦ</w:t>
            </w:r>
          </w:p>
        </w:tc>
        <w:tc>
          <w:tcPr>
            <w:tcW w:type="dxa" w:w="2160"/>
            <w:shd w:fill="auto" w:val="clear"/>
          </w:tcPr>
          <w:p w14:paraId="2B000000"/>
        </w:tc>
        <w:tc>
          <w:tcPr>
            <w:tcW w:type="dxa" w:w="2083"/>
            <w:shd w:fill="auto" w:val="clear"/>
          </w:tcPr>
          <w:p w14:paraId="2C000000"/>
        </w:tc>
      </w:tr>
      <w:tr>
        <w:tc>
          <w:tcPr>
            <w:tcW w:type="dxa" w:w="1440"/>
            <w:shd w:fill="auto" w:val="clear"/>
          </w:tcPr>
          <w:p w14:paraId="2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06</w:t>
            </w:r>
            <w:r>
              <w:rPr>
                <w:sz w:val="22"/>
              </w:rPr>
              <w:t>.2020</w:t>
            </w:r>
          </w:p>
          <w:p w14:paraId="2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14-00</w:t>
            </w:r>
          </w:p>
        </w:tc>
        <w:tc>
          <w:tcPr>
            <w:tcW w:type="dxa" w:w="2160"/>
            <w:shd w:fill="auto" w:val="clear"/>
          </w:tcPr>
          <w:p w14:paraId="2F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Изменения в налоговом законодательстве</w:t>
            </w:r>
          </w:p>
          <w:p w14:paraId="30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Актуальные вопросы налогообложения</w:t>
            </w:r>
          </w:p>
        </w:tc>
        <w:tc>
          <w:tcPr>
            <w:tcW w:type="dxa" w:w="2160"/>
            <w:shd w:fill="auto" w:val="clear"/>
          </w:tcPr>
          <w:p w14:paraId="31000000"/>
        </w:tc>
        <w:tc>
          <w:tcPr>
            <w:tcW w:type="dxa" w:w="2083"/>
            <w:shd w:fill="auto" w:val="clear"/>
          </w:tcPr>
          <w:p w14:paraId="32000000"/>
        </w:tc>
      </w:tr>
      <w:tr>
        <w:tc>
          <w:tcPr>
            <w:tcW w:type="dxa" w:w="1440"/>
            <w:shd w:fill="auto" w:val="clear"/>
          </w:tcPr>
          <w:p w14:paraId="3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7.06.2020</w:t>
            </w:r>
          </w:p>
          <w:p w14:paraId="3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14-00</w:t>
            </w:r>
          </w:p>
        </w:tc>
        <w:tc>
          <w:tcPr>
            <w:tcW w:type="dxa" w:w="2160"/>
            <w:shd w:fill="auto" w:val="clear"/>
          </w:tcPr>
          <w:p w14:paraId="35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Легализация «теневой» заработной платы</w:t>
            </w:r>
          </w:p>
        </w:tc>
        <w:tc>
          <w:tcPr>
            <w:tcW w:type="dxa" w:w="2160"/>
            <w:shd w:fill="auto" w:val="clear"/>
          </w:tcPr>
          <w:p w14:paraId="36000000"/>
        </w:tc>
        <w:tc>
          <w:tcPr>
            <w:tcW w:type="dxa" w:w="2083"/>
            <w:shd w:fill="auto" w:val="clear"/>
          </w:tcPr>
          <w:p w14:paraId="37000000"/>
        </w:tc>
      </w:tr>
      <w:tr>
        <w:tc>
          <w:tcPr>
            <w:tcW w:type="dxa" w:w="1440"/>
            <w:shd w:fill="auto" w:val="clear"/>
          </w:tcPr>
          <w:p w14:paraId="3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24.06.2020</w:t>
            </w:r>
          </w:p>
          <w:p w14:paraId="3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14-00</w:t>
            </w:r>
          </w:p>
        </w:tc>
        <w:tc>
          <w:tcPr>
            <w:tcW w:type="dxa" w:w="2160"/>
            <w:shd w:fill="auto" w:val="clear"/>
          </w:tcPr>
          <w:p w14:paraId="3A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Порядок заполнения платежных поручений. Обзор основных ошибок</w:t>
            </w:r>
          </w:p>
        </w:tc>
        <w:tc>
          <w:tcPr>
            <w:tcW w:type="dxa" w:w="2160"/>
            <w:shd w:fill="auto" w:val="clear"/>
          </w:tcPr>
          <w:p w14:paraId="3B000000"/>
        </w:tc>
        <w:tc>
          <w:tcPr>
            <w:tcW w:type="dxa" w:w="2083"/>
            <w:shd w:fill="auto" w:val="clear"/>
          </w:tcPr>
          <w:p w14:paraId="3C000000"/>
        </w:tc>
      </w:tr>
    </w:tbl>
    <w:p w14:paraId="3D000000"/>
    <w:sectPr>
      <w:headerReference r:id="rId1" w:type="default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1000000"/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